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C6" w:rsidRPr="007C6BC6" w:rsidRDefault="007C6BC6" w:rsidP="007C6BC6">
      <w:pPr>
        <w:shd w:val="clear" w:color="auto" w:fill="FFFFFF"/>
        <w:spacing w:before="173" w:after="173" w:line="240" w:lineRule="auto"/>
        <w:jc w:val="center"/>
        <w:outlineLvl w:val="1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 w:bidi="hi-IN"/>
        </w:rPr>
      </w:pPr>
      <w:r w:rsidRPr="007C6BC6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 w:bidi="hi-IN"/>
        </w:rPr>
        <w:t>UPSC IFS Botany Syllabus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1. Microbiology and Plant Pathology: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</w:p>
    <w:p w:rsidR="007C6BC6" w:rsidRPr="007C6BC6" w:rsidRDefault="007C6BC6" w:rsidP="007C6B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Viruses, bacteria, and plasmids-structure and reproduction. General account of infection,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Phytoimmunology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. </w:t>
      </w:r>
    </w:p>
    <w:p w:rsidR="007C6BC6" w:rsidRPr="007C6BC6" w:rsidRDefault="007C6BC6" w:rsidP="007C6B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>Applications of microbiology in agriculture, industry, medicine and pollution control in air, soil and water. </w:t>
      </w:r>
    </w:p>
    <w:p w:rsidR="007C6BC6" w:rsidRPr="007C6BC6" w:rsidRDefault="007C6BC6" w:rsidP="007C6B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Important plant diseases caused by viruses, bacteria,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mycoplasma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fungi and nematodes. </w:t>
      </w:r>
    </w:p>
    <w:p w:rsidR="007C6BC6" w:rsidRPr="007C6BC6" w:rsidRDefault="007C6BC6" w:rsidP="007C6B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Mode of infection and dissemination. </w:t>
      </w:r>
    </w:p>
    <w:p w:rsidR="007C6BC6" w:rsidRPr="007C6BC6" w:rsidRDefault="007C6BC6" w:rsidP="007C6B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>Molecular basis of infection and disease resistance/defence. Physiology of parasitism and control measures. Fungal toxins.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2. Cryptogams:</w:t>
      </w:r>
      <w:r w:rsidRPr="007C6BC6">
        <w:rPr>
          <w:rStyle w:val="apple-converted-space"/>
          <w:rFonts w:ascii="Verdana" w:hAnsi="Verdana" w:cs="Segoe UI"/>
          <w:color w:val="333333"/>
          <w:sz w:val="20"/>
          <w:szCs w:val="20"/>
        </w:rPr>
        <w:t> 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Algae, Fungi, Bryophytes,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Pteridophytes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-structure and reproduction from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evolutonary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viewpoint. </w:t>
      </w:r>
    </w:p>
    <w:p w:rsidR="007C6BC6" w:rsidRPr="007C6BC6" w:rsidRDefault="007C6BC6" w:rsidP="007C6B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>Distribution of Cryptogams in India and their economic potential.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 xml:space="preserve">3. </w:t>
      </w:r>
      <w:proofErr w:type="spellStart"/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Phanerogams</w:t>
      </w:r>
      <w:proofErr w:type="spellEnd"/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:</w:t>
      </w:r>
      <w:r w:rsidRPr="007C6BC6">
        <w:rPr>
          <w:rStyle w:val="apple-converted-space"/>
          <w:rFonts w:ascii="Verdana" w:hAnsi="Verdana" w:cs="Segoe UI"/>
          <w:color w:val="333333"/>
          <w:sz w:val="20"/>
          <w:szCs w:val="20"/>
        </w:rPr>
        <w:t> 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b/>
          <w:bCs/>
          <w:color w:val="333333"/>
          <w:sz w:val="20"/>
          <w:szCs w:val="20"/>
        </w:rPr>
        <w:t>Gymnosperms:</w:t>
      </w:r>
      <w:r w:rsidRPr="007C6BC6">
        <w:rPr>
          <w:rFonts w:ascii="Verdana" w:hAnsi="Verdana" w:cs="Segoe UI"/>
          <w:color w:val="333333"/>
          <w:sz w:val="20"/>
          <w:szCs w:val="20"/>
        </w:rPr>
        <w:t xml:space="preserve">  Concept of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Progymonosperms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. Classification and distribution of Gymnosperms. Salient features of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Cycadales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Coniferrals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Gnetales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their structures and reproduction. General account of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Cycadofilicales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Bennettitales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Cordaitales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.</w:t>
      </w:r>
    </w:p>
    <w:p w:rsidR="007C6BC6" w:rsidRPr="007C6BC6" w:rsidRDefault="007C6BC6" w:rsidP="007C6B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Angiosperms:</w:t>
      </w:r>
      <w:r w:rsidRPr="007C6BC6">
        <w:rPr>
          <w:rStyle w:val="apple-converted-space"/>
          <w:rFonts w:ascii="Verdana" w:hAnsi="Verdana" w:cs="Segoe UI"/>
          <w:color w:val="333333"/>
          <w:sz w:val="20"/>
          <w:szCs w:val="20"/>
        </w:rPr>
        <w:t> 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Systematics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anatomy, embryology,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palynology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and phylogeny. Comparative account of various systems of Angiosperm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Classiification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. Study of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angiospermic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familiesâ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€“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Magnoliaceae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Ranunculaceae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Brassicaceae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(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Cruci-ferae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),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Rosaceae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Leguminosae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Euphorbiaceae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Malvaceaie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Dipterocar-paceae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Apiaceae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(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Umbelliferae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),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Asclepiadaceae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Verbenaceae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, Solana-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Rubiaceae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Cucurbitaceae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Asteraceae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(Composite),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Poaceae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(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Gramineae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),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Arecaceae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(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Palmae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),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Liliaceae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Musaceae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Orchidaceae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. Stomata and their types. Anomalous secondary growth, Anatomy of C 3 and C 4 plants. Development of male and female gametophytes, pollination, fertilization.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Endospermâ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€“its development and function. Patterns of embryo development.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Polyembryony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apoxmix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Applications of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palynology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.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4. Plant Utility and Exploitation: 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</w:p>
    <w:p w:rsidR="007C6BC6" w:rsidRPr="007C6BC6" w:rsidRDefault="007C6BC6" w:rsidP="007C6BC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Origin of cultivated plants,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Vavilov's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centres of origin. Plants as sources for food, fodder, fibres, spices, beverages, drugs, narcotics, insecticides, timber, gums, resins and dyes. Latex, cellulose Starch and their products. Perfumery. Importance of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Ethnobotany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in Indian context. Energy plantation. Botanical Gardens and Herbaria.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5. Morphogenesis: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Totipotency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polarity, symmetry and differentiation. Cell, tissue, organ and protoplast culture. Somatic hybrids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Cybrids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.</w:t>
      </w:r>
    </w:p>
    <w:p w:rsidR="007C6BC6" w:rsidRPr="007C6BC6" w:rsidRDefault="007C6BC6" w:rsidP="007C6BC6">
      <w:pPr>
        <w:pStyle w:val="Heading3"/>
        <w:shd w:val="clear" w:color="auto" w:fill="FFFFFF"/>
        <w:spacing w:before="173" w:after="173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>Paper - II</w:t>
      </w:r>
    </w:p>
    <w:p w:rsidR="007C6BC6" w:rsidRPr="007C6BC6" w:rsidRDefault="007C6BC6" w:rsidP="007C6B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Cell Biology:</w:t>
      </w:r>
      <w:r w:rsidRPr="007C6BC6">
        <w:rPr>
          <w:rStyle w:val="apple-converted-space"/>
          <w:rFonts w:ascii="Verdana" w:hAnsi="Verdana" w:cs="Segoe UI"/>
          <w:color w:val="333333"/>
          <w:sz w:val="20"/>
          <w:szCs w:val="20"/>
        </w:rPr>
        <w:t> 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ind w:left="360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Techniques of Cell Biology. Prokaryotic and eukaryotic cells -structural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ultrastructural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details. Structure and function of extracellular matrix or ECM (cell </w:t>
      </w:r>
      <w:r w:rsidRPr="007C6BC6">
        <w:rPr>
          <w:rFonts w:ascii="Verdana" w:hAnsi="Verdana" w:cs="Segoe UI"/>
          <w:color w:val="333333"/>
          <w:sz w:val="20"/>
          <w:szCs w:val="20"/>
        </w:rPr>
        <w:lastRenderedPageBreak/>
        <w:t xml:space="preserve">wall) and membranes-cell adhesion, membrane transport and vesicular transport. Structure and function of cell organelles (chloroplasts, mitochondria, ER,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ribosomes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endosomes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lysosomes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peroxisomes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hydrogenosome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). Nucleus, nucleolus, nuclear pore complex. Chromatin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nucleosome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. Cell signalling and cell receptors. Signal transduction (G-1 proteins, etc.). Mitosis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meisdosis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; molecular basis of cell cycle. Numerical and structural variations in chromosomes and their significance. Study of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polytene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lampbrush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and B-chromosomes structure, behaviour and significance.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Genetics, Molecular Biology and Evolution: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</w:pPr>
    </w:p>
    <w:p w:rsidR="007C6BC6" w:rsidRPr="007C6BC6" w:rsidRDefault="007C6BC6" w:rsidP="007C6BC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>Development of genetics, and gene versus allele concepts (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Pseudoalleles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). Quantitative genetics and multiple factors. Linkage and crossing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overâ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€“methods of gene mapping including molecular maps (idea of mapping function). Sex chromosomes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sexlinked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inheritance, sex determination and molecular basis of sex differentiation. Mutation (biochemical and molecular basis).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Cytoplasmic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inheritance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cytoplasmic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genes (including genetics of male sterility).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Prions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prion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hypothesis. Structure and synthesis of nucleic acids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protines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. Genetic code and regulation of gene expression.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Multigene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families. Organic evolution-evidences, mechanism and theories. Role of RNA in origin and evolution.</w:t>
      </w:r>
    </w:p>
    <w:p w:rsidR="007C6BC6" w:rsidRDefault="007C6BC6" w:rsidP="007C6B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Plant Breeding, Biotechnology and Biostatistics:</w:t>
      </w:r>
      <w:r w:rsidRPr="007C6BC6">
        <w:rPr>
          <w:rStyle w:val="apple-converted-space"/>
          <w:rFonts w:ascii="Verdana" w:hAnsi="Verdana" w:cs="Segoe UI"/>
          <w:color w:val="333333"/>
          <w:sz w:val="20"/>
          <w:szCs w:val="20"/>
        </w:rPr>
        <w:t> 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Methods of plant breeding -- introduction, selection and hybridization (pedigree, backcross, mass selection, bulk method). Male sterility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heterosis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breeding. Use of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apomixis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in plant breeding.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Micropropagation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and genetic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engineeringâ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€“methods of transfer of genes and transgenic crops; development and use of molecular markers in plant breeding.</w:t>
      </w:r>
    </w:p>
    <w:p w:rsidR="007C6BC6" w:rsidRPr="007C6BC6" w:rsidRDefault="007C6BC6" w:rsidP="007C6BC6">
      <w:pPr>
        <w:pStyle w:val="NormalWeb"/>
        <w:numPr>
          <w:ilvl w:val="0"/>
          <w:numId w:val="4"/>
        </w:numPr>
        <w:shd w:val="clear" w:color="auto" w:fill="FFFFFF"/>
        <w:spacing w:before="173" w:beforeAutospacing="0" w:after="173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>Standard deviation and coefficient of variation (CV). Tests of significance (Z-test, t-test and chi-square tests). Probability and distributions (normal, binomial and Poisson distributions). Correlation and regression.</w:t>
      </w:r>
    </w:p>
    <w:p w:rsidR="007C6BC6" w:rsidRPr="007C6BC6" w:rsidRDefault="007C6BC6" w:rsidP="007C6B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Physiology and Biochemistry:</w:t>
      </w:r>
      <w:r w:rsidRPr="007C6BC6">
        <w:rPr>
          <w:rStyle w:val="apple-converted-space"/>
          <w:rFonts w:ascii="Verdana" w:hAnsi="Verdana" w:cs="Segoe UI"/>
          <w:color w:val="333333"/>
          <w:sz w:val="20"/>
          <w:szCs w:val="20"/>
        </w:rPr>
        <w:t> 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ind w:left="360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Water relations, Mineral nutrition and ion transport, mineral deficiencies.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Photosynthesisâ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€“photochemical reactions,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photophosphorylation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and carbon pathways including C pathway (photorespiration), C, C and CAM pathways.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Respiraion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(anaerobic and aerobic, including fermentation-electron transport chain and oxidative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phosphorylation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Chemiosmotic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theory and ATP synthesis. Nitrogen fixation and nitrogen metabolism. Enzymes, coenzymes, energy transfer and energy conservation. Importance of secondary metabolites. Pigments as photoreceptors (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plastidial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pigments and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phytochrome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).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Photoperiodism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 and flowering,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vernalization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senescence. Growth substances-their chemical nature, role and applications in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agri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-horticulture, growth indices, growth movements. Stress physiology (heat, water, salinity, metal). Fruit and seed physiology. Dormancy, storage and germination of seed. Fruit ripening -- its molecular basis and manipulation.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8" w:lineRule="atLeast"/>
        <w:jc w:val="both"/>
        <w:rPr>
          <w:rStyle w:val="apple-converted-space"/>
          <w:rFonts w:ascii="Verdana" w:hAnsi="Verdana" w:cs="Segoe UI"/>
          <w:color w:val="333333"/>
          <w:sz w:val="20"/>
          <w:szCs w:val="20"/>
        </w:rPr>
      </w:pPr>
      <w:r w:rsidRPr="007C6BC6">
        <w:rPr>
          <w:rStyle w:val="Strong"/>
          <w:rFonts w:ascii="Verdana" w:eastAsiaTheme="majorEastAsia" w:hAnsi="Verdana" w:cs="Segoe UI"/>
          <w:color w:val="333333"/>
          <w:sz w:val="20"/>
          <w:szCs w:val="20"/>
          <w:bdr w:val="none" w:sz="0" w:space="0" w:color="auto" w:frame="1"/>
        </w:rPr>
        <w:t>Ecology and Plant Geography:</w:t>
      </w:r>
      <w:r w:rsidRPr="007C6BC6">
        <w:rPr>
          <w:rStyle w:val="apple-converted-space"/>
          <w:rFonts w:ascii="Verdana" w:hAnsi="Verdana" w:cs="Segoe UI"/>
          <w:color w:val="333333"/>
          <w:sz w:val="20"/>
          <w:szCs w:val="20"/>
        </w:rPr>
        <w:t> </w:t>
      </w:r>
    </w:p>
    <w:p w:rsidR="007C6BC6" w:rsidRPr="007C6BC6" w:rsidRDefault="007C6BC6" w:rsidP="007C6BC6">
      <w:pPr>
        <w:pStyle w:val="NormalWeb"/>
        <w:shd w:val="clear" w:color="auto" w:fill="FFFFFF"/>
        <w:spacing w:before="0" w:beforeAutospacing="0" w:after="0" w:afterAutospacing="0" w:line="228" w:lineRule="atLeast"/>
        <w:ind w:left="360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7C6BC6" w:rsidRPr="007C6BC6" w:rsidRDefault="007C6BC6" w:rsidP="007C6BC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Ecological factors. Concepts and dynamics of community. Plant succession. Concepts of biosphere. Ecosystems and their conservation. Pollution and its control (including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phytoremediation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).</w:t>
      </w:r>
    </w:p>
    <w:p w:rsidR="007C6BC6" w:rsidRPr="007C6BC6" w:rsidRDefault="007C6BC6" w:rsidP="007C6BC6">
      <w:pPr>
        <w:pStyle w:val="NormalWeb"/>
        <w:numPr>
          <w:ilvl w:val="0"/>
          <w:numId w:val="6"/>
        </w:numPr>
        <w:shd w:val="clear" w:color="auto" w:fill="FFFFFF"/>
        <w:spacing w:before="173" w:beforeAutospacing="0" w:after="173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7C6BC6">
        <w:rPr>
          <w:rFonts w:ascii="Verdana" w:hAnsi="Verdana" w:cs="Segoe UI"/>
          <w:color w:val="333333"/>
          <w:sz w:val="20"/>
          <w:szCs w:val="20"/>
        </w:rPr>
        <w:t xml:space="preserve">Forest types of India --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afforestation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 xml:space="preserve">, deforestation and social forestry. Endangered plants, endemism and Red Data Books. Biodiversity. Convention </w:t>
      </w:r>
      <w:r w:rsidRPr="007C6BC6">
        <w:rPr>
          <w:rFonts w:ascii="Verdana" w:hAnsi="Verdana" w:cs="Segoe UI"/>
          <w:color w:val="333333"/>
          <w:sz w:val="20"/>
          <w:szCs w:val="20"/>
        </w:rPr>
        <w:lastRenderedPageBreak/>
        <w:t xml:space="preserve">of Biological Diversity, Sovereign Rights and Intellectual Property Rights. Biogeochemical </w:t>
      </w:r>
      <w:proofErr w:type="spellStart"/>
      <w:r w:rsidRPr="007C6BC6">
        <w:rPr>
          <w:rFonts w:ascii="Verdana" w:hAnsi="Verdana" w:cs="Segoe UI"/>
          <w:color w:val="333333"/>
          <w:sz w:val="20"/>
          <w:szCs w:val="20"/>
        </w:rPr>
        <w:t>cyeles</w:t>
      </w:r>
      <w:proofErr w:type="spellEnd"/>
      <w:r w:rsidRPr="007C6BC6">
        <w:rPr>
          <w:rFonts w:ascii="Verdana" w:hAnsi="Verdana" w:cs="Segoe UI"/>
          <w:color w:val="333333"/>
          <w:sz w:val="20"/>
          <w:szCs w:val="20"/>
        </w:rPr>
        <w:t>. Global warming.</w:t>
      </w:r>
    </w:p>
    <w:p w:rsidR="007C6BC6" w:rsidRPr="007C6BC6" w:rsidRDefault="007C6BC6" w:rsidP="007C6BC6">
      <w:pPr>
        <w:shd w:val="clear" w:color="auto" w:fill="FFFFFF"/>
        <w:spacing w:before="173" w:after="173" w:line="240" w:lineRule="auto"/>
        <w:outlineLvl w:val="1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 w:bidi="hi-IN"/>
        </w:rPr>
      </w:pPr>
    </w:p>
    <w:p w:rsidR="009F03C2" w:rsidRPr="007C6BC6" w:rsidRDefault="007C6BC6" w:rsidP="007C6BC6">
      <w:pPr>
        <w:jc w:val="center"/>
        <w:rPr>
          <w:rFonts w:ascii="Verdana" w:hAnsi="Verdana"/>
          <w:sz w:val="20"/>
          <w:szCs w:val="20"/>
        </w:rPr>
      </w:pPr>
    </w:p>
    <w:sectPr w:rsidR="009F03C2" w:rsidRPr="007C6BC6" w:rsidSect="001B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9E5"/>
    <w:multiLevelType w:val="hybridMultilevel"/>
    <w:tmpl w:val="88E4F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549B"/>
    <w:multiLevelType w:val="hybridMultilevel"/>
    <w:tmpl w:val="1C58B3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76F7"/>
    <w:multiLevelType w:val="hybridMultilevel"/>
    <w:tmpl w:val="462EC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3253"/>
    <w:multiLevelType w:val="hybridMultilevel"/>
    <w:tmpl w:val="CFA447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95EC0"/>
    <w:multiLevelType w:val="hybridMultilevel"/>
    <w:tmpl w:val="D1AEB732"/>
    <w:lvl w:ilvl="0" w:tplc="0812EB2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4D8F"/>
    <w:multiLevelType w:val="hybridMultilevel"/>
    <w:tmpl w:val="6BE0EC8A"/>
    <w:lvl w:ilvl="0" w:tplc="40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6BC6"/>
    <w:rsid w:val="001B4252"/>
    <w:rsid w:val="00404E51"/>
    <w:rsid w:val="007C6BC6"/>
    <w:rsid w:val="00BB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2"/>
  </w:style>
  <w:style w:type="paragraph" w:styleId="Heading2">
    <w:name w:val="heading 2"/>
    <w:basedOn w:val="Normal"/>
    <w:link w:val="Heading2Char"/>
    <w:uiPriority w:val="9"/>
    <w:qFormat/>
    <w:rsid w:val="007C6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BC6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B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C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7C6BC6"/>
    <w:rPr>
      <w:b/>
      <w:bCs/>
    </w:rPr>
  </w:style>
  <w:style w:type="character" w:customStyle="1" w:styleId="apple-converted-space">
    <w:name w:val="apple-converted-space"/>
    <w:basedOn w:val="DefaultParagraphFont"/>
    <w:rsid w:val="007C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2015-07-03T09:50:00Z</dcterms:created>
  <dcterms:modified xsi:type="dcterms:W3CDTF">2015-07-03T09:53:00Z</dcterms:modified>
</cp:coreProperties>
</file>