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2A" w:rsidRPr="009B432A" w:rsidRDefault="009B432A" w:rsidP="009B432A">
      <w:pPr>
        <w:shd w:val="clear" w:color="auto" w:fill="FFFFFF"/>
        <w:spacing w:before="173" w:after="173" w:line="240" w:lineRule="auto"/>
        <w:jc w:val="center"/>
        <w:outlineLvl w:val="1"/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 w:bidi="hi-IN"/>
        </w:rPr>
      </w:pPr>
      <w:r w:rsidRPr="009B432A">
        <w:rPr>
          <w:rFonts w:ascii="Verdana" w:eastAsia="Times New Roman" w:hAnsi="Verdana" w:cs="Segoe UI"/>
          <w:b/>
          <w:bCs/>
          <w:color w:val="333333"/>
          <w:sz w:val="20"/>
          <w:szCs w:val="20"/>
          <w:lang w:eastAsia="en-IN" w:bidi="hi-IN"/>
        </w:rPr>
        <w:t>UPSC IFS Chemical Engineering Syllabus</w:t>
      </w:r>
    </w:p>
    <w:p w:rsidR="009B432A" w:rsidRDefault="009B432A" w:rsidP="009B432A">
      <w:pPr>
        <w:pStyle w:val="Heading3"/>
        <w:shd w:val="clear" w:color="auto" w:fill="FFFFFF"/>
        <w:spacing w:before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Paper </w:t>
      </w:r>
      <w:r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–</w:t>
      </w: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I</w:t>
      </w:r>
    </w:p>
    <w:p w:rsid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Section A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(a) Fluid and Particle Dynamics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br/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Viscosity of fluids.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Laminar and turbulent flows.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Equation of continuity and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Navier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-Stokes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equition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-Bernoulli's theorem.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Flow meters.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Fluid drag and pressure drop due to friction,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Reynold's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Number and friction factor - effect of pipe roughness.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Economic pipe diameter.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Pumps, water, air/steam jet ejectors, compressors, blowers and fans.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Agitation and mixing of liquids.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Mixing of solids and pastes.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Crushing and Grinding - principles and equipment.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Rittinger's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and Bond's laws.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Filtration and filtration equipment.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Fluid-particle mechanics - free and hindered settling.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Fluidisation and minimum fluidization velocity, concepts of compressible and incompressible flow.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Transport of Solids.</w:t>
      </w:r>
      <w:proofErr w:type="gramEnd"/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(b) Mass Transfer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br/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Molecular diffusion coefficients, First and second law and diffusion, mass transfer coefficients, film and penetration theories of mass transfer.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Distillation, simple distillation, relative volatility, fractional distillation, plate and packed columns for distillation.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Calculation of theoretical number of plates.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Liquid-liquid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equilibria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Extraction - theory and practice; Design of gas-absorption columns.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Drying.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Humidification, dehumidification.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Crystallisation.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Design of equipment.</w:t>
      </w:r>
      <w:proofErr w:type="gramEnd"/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(c) Heat </w:t>
      </w:r>
      <w:proofErr w:type="spellStart"/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Taransfer</w:t>
      </w:r>
      <w:proofErr w:type="spellEnd"/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br/>
        <w:t xml:space="preserve">Conduction, thermal conductivity, extended surface heat transfer. Convection - free and forced.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Heat transfer coefficients -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Nusselt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Number.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LMTD and effectiveness.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NTU methods for the design of Double Pipe and Shell &amp; Tube Heat Exchangers.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Analogy between heat and momentum transfer.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Boiling and condensation heat transfer.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Single and multiple-effect evaporators.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Rediation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- Stefan-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Boltzman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Law, emissivity and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absorptivity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. Calculation of heat load of a furnace.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Solar heaters.</w:t>
      </w:r>
      <w:proofErr w:type="gramEnd"/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Section B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(d) </w:t>
      </w:r>
      <w:proofErr w:type="spellStart"/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Noval</w:t>
      </w:r>
      <w:proofErr w:type="spellEnd"/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Separation Processes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br/>
        <w:t xml:space="preserve">Equilibrium separation processes - ion-exchange, osmosis, electro-dialysis, reverse osmosis, ultra-filtration and other membrane processes.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Molecular distillation.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super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critical fluid extraction.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(e) Process Equipment Design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br/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Fractors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affecting vessel design criteria - Cost considerations.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Design of storage vessels-vertical, horizontal spherical, underground tanks for atmospheric and higher pressure.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Design of closures flat and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eliptical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head.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Design of supports.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Materials of construction-characteristics and selection.</w:t>
      </w:r>
      <w:proofErr w:type="gramEnd"/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(f) Process Dynamics and Control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br/>
        <w:t>Measuring instruments for process variables like level, pressure, flow, temperature pH and concentration with indication in visual/pneumatic/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analog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/digital signal forms. Control variable, manipulative variable and load variables. Linear control theory-Laplace, transforms.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PID controllers.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Block diagram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represenation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transient and frequency </w:t>
      </w: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lastRenderedPageBreak/>
        <w:t>response, stability of closed loop system. Advanced control strategies. Computer based process control.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9B432A" w:rsidRPr="009B432A" w:rsidRDefault="009B432A" w:rsidP="009B432A">
      <w:pPr>
        <w:pStyle w:val="Heading3"/>
        <w:shd w:val="clear" w:color="auto" w:fill="FFFFFF"/>
        <w:spacing w:before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Paper - II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Section A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(</w:t>
      </w:r>
      <w:proofErr w:type="gramStart"/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a</w:t>
      </w:r>
      <w:proofErr w:type="gramEnd"/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) Material and Energy Balances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br/>
        <w:t xml:space="preserve">Material and energy balance calculations in processes with recycle/bypass/purge.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Combustion of solid/liquid/gaseous fuels,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stoichiometric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relationships and excess air requirements.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Adiabatic flame temperature.</w:t>
      </w:r>
      <w:proofErr w:type="gramEnd"/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(b) Chemical Engineering Thermodynamics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br/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Laws of thermodynamics.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PVT relationships for pure components and mixtures.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Energy functions and inter-relationships - Maxwell's relations.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Fugacity, activity and chemical potential.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Vapour-liquid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equilibria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, for ideal/non-ideal, single and multi component systems.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eriteria</w:t>
      </w:r>
      <w:proofErr w:type="spellEnd"/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for chemical reaction equilibrium, equilibrium constant and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equillibrium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conversions. Thermodynamic cycles - refrigeration and power.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(c) Chemical Reaction </w:t>
      </w:r>
      <w:proofErr w:type="gramStart"/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Engineering :</w:t>
      </w:r>
      <w:proofErr w:type="gramEnd"/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br/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Batch reactors - kinetics of homogeneous reactions and interpretation of kinetic data.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Ideal flow reactors - CSTR, plug flow reactors and their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perofrmance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equations.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Temperature effects and run-away reactions.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Heterogeneous reactions - catalytic and non-catalytic and gas-solid and gas-liquid reactions.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Intrinsic kinetics and global rate concept.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Importance of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interphase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and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intraparticle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mass transfer on performance.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Effectiveness factor.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Isothermal and non-isothermal reactors and reactor stability.</w:t>
      </w:r>
      <w:proofErr w:type="gramEnd"/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Section B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(d) Chemical Technology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br/>
        <w:t xml:space="preserve">Natural organic products - Wood and wood-based chemicals, pulp and paper, Agro industries - sugar, Edible oils extraction (including tree based seeds), Soaps and detergents.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Essential oils - Biomass gasification (including biogas).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Coal and coal chemical.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Petroleium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and Natural gas-Petroleum refining (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Atomospheric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distillation/cracking/reforming) - Petrochemical industries -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Polyethylenes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(LDPE/HDPE/LLDPE), Polyvinyl Chloride, Polystyrene.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Ammonia manufacture.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Cement and lime industries. Paints and varnishes.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Glass and </w:t>
      </w:r>
      <w:proofErr w:type="spell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ceremics</w:t>
      </w:r>
      <w:proofErr w:type="spell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Fermentation - alcohol and antibiotics.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(e) Environmental Engineering and Safety</w:t>
      </w: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br/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Ecology and Environment.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Sources of pollutants in air and water.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Green house effect, ozone layer depletion, acid rain.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Micrometeorology and dispersion of pollutants in environment.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Measurement techniques of pollutant levels and their control strategies.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Solid wastes, their hazards and their disposal techniques.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Design and performance analysis of pollution control equipment.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Fire and explosion hazards rating - HAZOP and HAZAN.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Emergency planning, disaster management.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Environmental legislations - water, air environment protection Acts.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Forest (Conservation) Act.</w:t>
      </w:r>
      <w:proofErr w:type="gramEnd"/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</w:pPr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(f) Process Engineering </w:t>
      </w:r>
      <w:proofErr w:type="gramStart"/>
      <w:r w:rsidRPr="009B432A">
        <w:rPr>
          <w:rStyle w:val="Strong"/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Economics :</w:t>
      </w:r>
      <w:proofErr w:type="gramEnd"/>
    </w:p>
    <w:p w:rsidR="009B432A" w:rsidRPr="009B432A" w:rsidRDefault="009B432A" w:rsidP="009B432A">
      <w:pPr>
        <w:pStyle w:val="NormalWeb"/>
        <w:shd w:val="clear" w:color="auto" w:fill="FFFFFF"/>
        <w:spacing w:before="0" w:beforeAutospacing="0" w:after="0" w:afterAutospacing="0" w:line="228" w:lineRule="atLeast"/>
        <w:jc w:val="both"/>
        <w:rPr>
          <w:rFonts w:ascii="Verdana" w:hAnsi="Verdana" w:cs="Segoe UI"/>
          <w:color w:val="333333"/>
          <w:sz w:val="20"/>
          <w:szCs w:val="20"/>
        </w:rPr>
      </w:pP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br/>
        <w:t xml:space="preserve">Fixed and working capital requirement for a process industry and estimation methods. Cost estimation and comparison of alternatives.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Net present value by discounted cash flow.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Pay back analysis.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IRR, Depreciation, taxes and insurance.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Break-even point </w:t>
      </w:r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lastRenderedPageBreak/>
        <w:t>analysis.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Project scheduling - PERT and CPM.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Profit and loss account, balance sheet and financial statement.</w:t>
      </w:r>
      <w:proofErr w:type="gramEnd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9B432A">
        <w:rPr>
          <w:rFonts w:ascii="Verdana" w:hAnsi="Verdana" w:cs="Segoe UI"/>
          <w:color w:val="333333"/>
          <w:sz w:val="20"/>
          <w:szCs w:val="20"/>
          <w:bdr w:val="none" w:sz="0" w:space="0" w:color="auto" w:frame="1"/>
        </w:rPr>
        <w:t>Plant location and plant layout including piping.</w:t>
      </w:r>
      <w:proofErr w:type="gramEnd"/>
    </w:p>
    <w:p w:rsidR="009F03C2" w:rsidRPr="009B432A" w:rsidRDefault="009B432A" w:rsidP="009B432A">
      <w:pPr>
        <w:rPr>
          <w:rFonts w:ascii="Verdana" w:hAnsi="Verdana"/>
          <w:sz w:val="20"/>
          <w:szCs w:val="20"/>
        </w:rPr>
      </w:pPr>
    </w:p>
    <w:sectPr w:rsidR="009F03C2" w:rsidRPr="009B432A" w:rsidSect="001B4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B432A"/>
    <w:rsid w:val="001B4252"/>
    <w:rsid w:val="00404E51"/>
    <w:rsid w:val="009B432A"/>
    <w:rsid w:val="00BB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52"/>
  </w:style>
  <w:style w:type="paragraph" w:styleId="Heading2">
    <w:name w:val="heading 2"/>
    <w:basedOn w:val="Normal"/>
    <w:link w:val="Heading2Char"/>
    <w:uiPriority w:val="9"/>
    <w:qFormat/>
    <w:rsid w:val="009B43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432A"/>
    <w:rPr>
      <w:rFonts w:ascii="Times New Roman" w:eastAsia="Times New Roman" w:hAnsi="Times New Roman" w:cs="Times New Roman"/>
      <w:b/>
      <w:bCs/>
      <w:sz w:val="36"/>
      <w:szCs w:val="36"/>
      <w:lang w:eastAsia="en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3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B4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Strong">
    <w:name w:val="Strong"/>
    <w:basedOn w:val="DefaultParagraphFont"/>
    <w:uiPriority w:val="22"/>
    <w:qFormat/>
    <w:rsid w:val="009B43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2015-07-03T10:01:00Z</dcterms:created>
  <dcterms:modified xsi:type="dcterms:W3CDTF">2015-07-03T10:03:00Z</dcterms:modified>
</cp:coreProperties>
</file>