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3D" w:rsidRPr="0059373D" w:rsidRDefault="0059373D" w:rsidP="0059373D">
      <w:pPr>
        <w:shd w:val="clear" w:color="auto" w:fill="FFFFFF"/>
        <w:spacing w:before="225" w:after="225" w:line="240" w:lineRule="auto"/>
        <w:outlineLvl w:val="1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UPSC IFS Geology Syllabus</w:t>
      </w:r>
    </w:p>
    <w:p w:rsidR="0059373D" w:rsidRPr="0059373D" w:rsidRDefault="0059373D" w:rsidP="0059373D">
      <w:pPr>
        <w:shd w:val="clear" w:color="auto" w:fill="FFFFFF"/>
        <w:spacing w:before="225" w:after="225" w:line="240" w:lineRule="auto"/>
        <w:jc w:val="both"/>
        <w:outlineLvl w:val="2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Paper - I</w:t>
      </w:r>
    </w:p>
    <w:p w:rsidR="0059373D" w:rsidRP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Section-A</w:t>
      </w: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General Geology: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The Solar System,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meteorities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origin and interior of the earth.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Radioactivity and age of earth; Volcanoes-causes and products, volcanic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belts.Earthquakes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-causes, effects, earthquake belts, seismicity of India, intensity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magnitude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,seismongraphs</w:t>
      </w:r>
      <w:proofErr w:type="spellEnd"/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Island arcs, deep sea trenches and mid-ocean ridges.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Continental drift-evidences and mechanics; sea-floor spreading, plate tectonics.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Isostasy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orogeny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epeirogeny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Continents and oceans.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Geomorphology and Remote Sensing: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Basic concepts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geomorphology.Weathering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mass wasting.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Landforms, slopes and drainage.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Geomorphic cycles and their interpretation, Morphology and its relation to structures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lithology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Applications of geomorphology in mineral prospecting, civil engineering, hydrology and environmental studies.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Geomorphology of Indian sub-continent.</w:t>
      </w:r>
      <w:proofErr w:type="gramEnd"/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Aerial photographs and their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interpretationmerits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limitations.The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Electromagnetic Spectrum.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Orbiting satellites and sensor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systems.Indian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Remote Sensing Satellites.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Satellites data products.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Applications of remote sensing in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geology.The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Geographic Information System and its applications.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Global Positioning System.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Structural geology: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Principles of geologic mapping and map reading, projection diagrams, stress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andstrain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ellipsoid and stress-strain relationships of elastic, plastic and viscous materials. Strain markers in deformed rocks.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Behaviour of minerals and rocks under deformation conditions.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Folds and faults classification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mechanics.Structural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analysis of folds, foliations,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lineations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joints and faults, unconformities.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Superposed deformation.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Time – relationship between crystallization and deformation.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Introduction to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petrofabrics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 B</w:t>
      </w:r>
    </w:p>
    <w:p w:rsidR="0059373D" w:rsidRP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Paleontology</w:t>
      </w:r>
      <w:proofErr w:type="spellEnd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Species definition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nomenclature.Megafossils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Microfossils.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Modes of preservation of fossils.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Different kinds of micro fossils.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Application of microfossils in correlation, petroleum exploration,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paleo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-climatic and pale oceanographic studies, Morphology, geological history and evolutionary trend in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Cephalopoda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Trilobita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Brachiopoda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Echi-noidea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Anthozoa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utility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Ammonoidea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Trilobita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Graptoloidea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 xml:space="preserve">Evolutionary trend in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Hominidae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Equidae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Probo-scidae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Siwalik fauna,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Gondwana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flora and its importance.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Stratigraphy</w:t>
      </w:r>
      <w:proofErr w:type="spellEnd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 xml:space="preserve"> and Geology of India: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Classification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sequences: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lithostratigraphic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biostratigraphic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chronostratigraphic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magnetostratigraphic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their interrelationships.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Distribution and classification of Precambrian rocks of India.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Study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stratigraphic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distribution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lithology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Phanerozoic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rocks of India with reference to fauna, flora and economic importance.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Major boundary problems -Cambrian/Precambrian, Permian/ Triassic, Cretaceous/Tertiary and Pliocene/ Pleistocene.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Study of climatic conditions,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paleogeography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igneous activity in the Indian subcontinent in the geological past.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Tectonic framework of India.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Evolution of the Himalayas.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Hydrogeology and Engineering Geology: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Hydrologic cycle and genetic classification of water.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Movement of subsurface water, Springs.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Porosity, permeability, hydraulic conductivity,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transmissivity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storage coefficient, classification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aquifers.Water-bearingcharacteristics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Ground-water chemistry.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Salt water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intrusion.Types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wells.Drainage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basin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morphometry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Exploration for groundwater.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Groundwater recharge.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Problems and management of groundwater, Rainwater harvesting.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Engineering properties of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Geological investigations for dams, tunnels and bridges.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Rock as construction material.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Alkali-aggregate reaction.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Landslides causes, prevention and rehabilitation.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Earthquake-resistant structures.</w:t>
      </w:r>
      <w:proofErr w:type="gramEnd"/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shd w:val="clear" w:color="auto" w:fill="FFFFFF"/>
        <w:spacing w:after="0" w:line="240" w:lineRule="auto"/>
        <w:jc w:val="both"/>
        <w:outlineLvl w:val="2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Paper - II</w:t>
      </w:r>
    </w:p>
    <w:p w:rsid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Section-A</w:t>
      </w:r>
    </w:p>
    <w:p w:rsidR="0059373D" w:rsidRP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Mineralogy: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Classification of crystals into systems and classes of symmetry.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International system of crystallographic notation.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Use of projection diagrams to represent crystal symmetry.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Crystal defects.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Elements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xray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crystallography.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Petrological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microscope and accessories.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Optical properties of common rock forming minerals.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Pleochroism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extinction angle, double refraction, birefringence, twinning and dispersion in minerals.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Physical and chemical characters of rock forming silicate mineral groups.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Structural classification of silicates.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Common minerals of igneous and metamorphic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Minerals of the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caronate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phosphate, sulphide and halide groups.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Igneous and Metamorphic Petrology: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Generation and crystallisation of magma.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Crystallisation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albite-anorthite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diopside-anorthite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diopsidewollastonite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- silica systems.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Reaction principle.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Magmatic 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differentiation and assimilation.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Petrogenetic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significance of the textures and structures of igneous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Petrography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petrogenesis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granite,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syenite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diorite, basic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ultrabasic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groups,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charnockite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anorthosite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alkaline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Carbonatites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Deccan volcanic province.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Types and agents of metamorphism.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Metamorphic grades and zones.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Phase rule.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Facies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of regional and contact metamorphism.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ACF and AKF diagrams.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Textures and structures of metamorphic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Metamorphism of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arenaceous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argillaceous and basic rocks.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Minerals assemblages,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Retrograde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metamorphism.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Metasomatism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granitisation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migmatities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granulite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terrains of India.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spellStart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Sedimentology</w:t>
      </w:r>
      <w:proofErr w:type="spellEnd"/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: Sedimentary rocks: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Processes of formation,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diagenesis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lithification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 Properties of sediments.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spellStart"/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Clastic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nonclastic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rocks-their classification, petrography and depositional environment, Sedimentary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facies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and provenance.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Sedimentary structures and their significance.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Heavy minerals and their significance.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Sedimentary basins of India.</w:t>
      </w:r>
      <w:proofErr w:type="gramEnd"/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Section-B</w:t>
      </w:r>
    </w:p>
    <w:p w:rsidR="0059373D" w:rsidRPr="0059373D" w:rsidRDefault="0059373D" w:rsidP="0059373D">
      <w:p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Economic Geology: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Ore, ore minerals and gangue, tenor of ore, classification of ore deposits.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Process of formation of minerals deposits.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Controls of ore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locallisation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Ore textures and structures,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Metallogenic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epochs and provinces, Geology of the important Indian deposits of aluminium, chromium, copper, gold, iron, lead, zinc, manganese, titanium, uranium and thorium and industrial minerals.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Deposits of coal and petroleum in India.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National Mineral Policy.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Conservation and utilization of mineral resources.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Marine mineral resources and Law of Sea.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Mining Geology: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Methods of prospecting-geological, geophysical, geo-chemical and geo-botanical, Techniques of sampling.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Estimation of reserves of ore, Methods of exploration and mining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metalic</w:t>
      </w:r>
      <w:proofErr w:type="spell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ores, industrial minerals and marine mineral resources.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Mineral beneficiation and ore dressing.</w:t>
      </w:r>
      <w:proofErr w:type="gramEnd"/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</w:p>
    <w:p w:rsidR="0059373D" w:rsidRPr="0059373D" w:rsidRDefault="0059373D" w:rsidP="0059373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b/>
          <w:bCs/>
          <w:color w:val="333333"/>
          <w:sz w:val="20"/>
          <w:szCs w:val="20"/>
          <w:lang w:eastAsia="en-IN"/>
        </w:rPr>
        <w:t>Geochemistry and Environmental Geology:</w:t>
      </w: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 </w:t>
      </w:r>
    </w:p>
    <w:p w:rsidR="0059373D" w:rsidRPr="0059373D" w:rsidRDefault="0059373D" w:rsidP="0059373D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</w:pPr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Cosmic abundance of elements, Composition of the planets and meteorites, Structure and composition of earth and distribution of elements, Trace elements, Elements of crystal chemistry – types of chemical bonds, coordination number, Isomorphism and polymorphism, Elementary thermodynamics. Natural hazards-floods, landslides, coastal erosion, earthquakes and volcanic activity and mitigation, Environmental impact of urbanization, open cast mining, industrial and radioactive waste disposal, use of 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lastRenderedPageBreak/>
        <w:t>fertilizers</w:t>
      </w:r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, dumping of mine waste and fly-ash. Pollution of ground and surface water, marine </w:t>
      </w:r>
      <w:proofErr w:type="spell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pollution</w:t>
      </w:r>
      <w:proofErr w:type="gramStart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>,environment</w:t>
      </w:r>
      <w:proofErr w:type="spellEnd"/>
      <w:proofErr w:type="gramEnd"/>
      <w:r w:rsidRPr="0059373D">
        <w:rPr>
          <w:rFonts w:ascii="Arial Unicode MS" w:eastAsia="Arial Unicode MS" w:hAnsi="Arial Unicode MS" w:cs="Arial Unicode MS"/>
          <w:color w:val="333333"/>
          <w:sz w:val="20"/>
          <w:szCs w:val="20"/>
          <w:lang w:eastAsia="en-IN"/>
        </w:rPr>
        <w:t xml:space="preserve"> protection-legislative measures in India.</w:t>
      </w:r>
    </w:p>
    <w:p w:rsidR="00CA56BA" w:rsidRPr="0059373D" w:rsidRDefault="0059373D">
      <w:pPr>
        <w:rPr>
          <w:rFonts w:ascii="Arial Unicode MS" w:eastAsia="Arial Unicode MS" w:hAnsi="Arial Unicode MS" w:cs="Arial Unicode MS"/>
          <w:sz w:val="20"/>
          <w:szCs w:val="20"/>
        </w:rPr>
      </w:pPr>
    </w:p>
    <w:sectPr w:rsidR="00CA56BA" w:rsidRPr="0059373D" w:rsidSect="00D41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7AD"/>
    <w:multiLevelType w:val="multilevel"/>
    <w:tmpl w:val="2DB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94A0B"/>
    <w:multiLevelType w:val="multilevel"/>
    <w:tmpl w:val="878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806AE"/>
    <w:multiLevelType w:val="hybridMultilevel"/>
    <w:tmpl w:val="D556DDB0"/>
    <w:lvl w:ilvl="0" w:tplc="FB1ACA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5E5"/>
    <w:multiLevelType w:val="multilevel"/>
    <w:tmpl w:val="0DD4D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E3DA3"/>
    <w:multiLevelType w:val="multilevel"/>
    <w:tmpl w:val="9D5C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D405D"/>
    <w:multiLevelType w:val="hybridMultilevel"/>
    <w:tmpl w:val="A6081358"/>
    <w:lvl w:ilvl="0" w:tplc="C76AC21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9373D"/>
    <w:rsid w:val="003408FA"/>
    <w:rsid w:val="003B6A42"/>
    <w:rsid w:val="0059373D"/>
    <w:rsid w:val="00D4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0DF"/>
  </w:style>
  <w:style w:type="paragraph" w:styleId="Heading2">
    <w:name w:val="heading 2"/>
    <w:basedOn w:val="Normal"/>
    <w:link w:val="Heading2Char"/>
    <w:uiPriority w:val="9"/>
    <w:qFormat/>
    <w:rsid w:val="0059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5937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link w:val="Heading4Char"/>
    <w:uiPriority w:val="9"/>
    <w:qFormat/>
    <w:rsid w:val="005937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373D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59373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59373D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593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9373D"/>
    <w:rPr>
      <w:b/>
      <w:bCs/>
    </w:rPr>
  </w:style>
  <w:style w:type="character" w:customStyle="1" w:styleId="apple-converted-space">
    <w:name w:val="apple-converted-space"/>
    <w:basedOn w:val="DefaultParagraphFont"/>
    <w:rsid w:val="0059373D"/>
  </w:style>
  <w:style w:type="character" w:styleId="Hyperlink">
    <w:name w:val="Hyperlink"/>
    <w:basedOn w:val="DefaultParagraphFont"/>
    <w:uiPriority w:val="99"/>
    <w:semiHidden/>
    <w:unhideWhenUsed/>
    <w:rsid w:val="0059373D"/>
    <w:rPr>
      <w:color w:val="0000FF"/>
      <w:u w:val="single"/>
    </w:rPr>
  </w:style>
  <w:style w:type="character" w:customStyle="1" w:styleId="comment-author">
    <w:name w:val="comment-author"/>
    <w:basedOn w:val="DefaultParagraphFont"/>
    <w:rsid w:val="0059373D"/>
  </w:style>
  <w:style w:type="character" w:customStyle="1" w:styleId="comment-date">
    <w:name w:val="comment-date"/>
    <w:basedOn w:val="DefaultParagraphFont"/>
    <w:rsid w:val="0059373D"/>
  </w:style>
  <w:style w:type="character" w:customStyle="1" w:styleId="comments-buttons">
    <w:name w:val="comments-buttons"/>
    <w:basedOn w:val="DefaultParagraphFont"/>
    <w:rsid w:val="0059373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937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9373D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captcha">
    <w:name w:val="captcha"/>
    <w:basedOn w:val="DefaultParagraphFont"/>
    <w:rsid w:val="0059373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937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9373D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badge">
    <w:name w:val="badge"/>
    <w:basedOn w:val="DefaultParagraphFont"/>
    <w:rsid w:val="0059373D"/>
  </w:style>
  <w:style w:type="character" w:customStyle="1" w:styleId="breadcrumbs">
    <w:name w:val="breadcrumbs"/>
    <w:basedOn w:val="DefaultParagraphFont"/>
    <w:rsid w:val="0059373D"/>
  </w:style>
  <w:style w:type="paragraph" w:styleId="BalloonText">
    <w:name w:val="Balloon Text"/>
    <w:basedOn w:val="Normal"/>
    <w:link w:val="BalloonTextChar"/>
    <w:uiPriority w:val="99"/>
    <w:semiHidden/>
    <w:unhideWhenUsed/>
    <w:rsid w:val="0059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3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3023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0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53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462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618778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3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6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53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1707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single" w:sz="6" w:space="6" w:color="CCCCCC"/>
                                                                      </w:divBdr>
                                                                    </w:div>
                                                                    <w:div w:id="187526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11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5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9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019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single" w:sz="6" w:space="6" w:color="CCCCCC"/>
                                                                      </w:divBdr>
                                                                    </w:div>
                                                                    <w:div w:id="14360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885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97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0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814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6" w:color="CCCCCC"/>
                                                                        <w:bottom w:val="none" w:sz="0" w:space="0" w:color="auto"/>
                                                                        <w:right w:val="single" w:sz="6" w:space="6" w:color="CCCCCC"/>
                                                                      </w:divBdr>
                                                                    </w:div>
                                                                    <w:div w:id="1643728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017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27746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12297">
                                                              <w:marLeft w:val="0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84327">
                                                                  <w:marLeft w:val="0"/>
                                                                  <w:marRight w:val="-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5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21611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1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00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6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9840919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66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4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736329">
                                  <w:marLeft w:val="150"/>
                                  <w:marRight w:val="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96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1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121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570">
                          <w:marLeft w:val="15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2015-07-03T10:23:00Z</dcterms:created>
  <dcterms:modified xsi:type="dcterms:W3CDTF">2015-07-03T10:25:00Z</dcterms:modified>
</cp:coreProperties>
</file>